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xrc3w49e9lze" w:id="0"/>
      <w:bookmarkEnd w:id="0"/>
      <w:r w:rsidDel="00000000" w:rsidR="00000000" w:rsidRPr="00000000">
        <w:rPr>
          <w:rtl w:val="0"/>
        </w:rPr>
        <w:t xml:space="preserve">Production Budget Calculator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4035"/>
        <w:gridCol w:w="2205"/>
        <w:tblGridChange w:id="0">
          <w:tblGrid>
            <w:gridCol w:w="3120"/>
            <w:gridCol w:w="4035"/>
            <w:gridCol w:w="220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Line Item</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color w:val="ffffff"/>
              </w:rPr>
            </w:pPr>
            <w:r w:rsidDel="00000000" w:rsidR="00000000" w:rsidRPr="00000000">
              <w:rPr>
                <w:b w:val="1"/>
                <w:color w:val="ffffff"/>
                <w:rtl w:val="0"/>
              </w:rPr>
              <w:t xml:space="preserve">Description</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color w:val="ffffff"/>
              </w:rPr>
            </w:pPr>
            <w:r w:rsidDel="00000000" w:rsidR="00000000" w:rsidRPr="00000000">
              <w:rPr>
                <w:b w:val="1"/>
                <w:color w:val="ffffff"/>
                <w:rtl w:val="0"/>
              </w:rPr>
              <w:t xml:space="preserve">Amount</w:t>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Art Design/Set Dressing</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Art Design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rPr/>
            </w:pPr>
            <w:r w:rsidDel="00000000" w:rsidR="00000000" w:rsidRPr="00000000">
              <w:rPr>
                <w:rtl w:val="0"/>
              </w:rPr>
              <w:t xml:space="preserve">Art Design refers to the overall look and feel of the set. Consider items such as, paint, special moldings, stencils, wallpaper, specialized tapes, projector, projections, and backdrops.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Set Design/Construction</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Construction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Set Construction refers to building the set structure and custom-built set pieces. Consider lumber and other construction items, such as: fabric, “pink board”, special hardware, wagons, platforms, doors, windows, steps, railings etc. Some items are reusable and are in stock; others are consumable and must be purchased.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Music</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Music Director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The Board allows up to $1500.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Musicians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pPr>
            <w:r w:rsidDel="00000000" w:rsidR="00000000" w:rsidRPr="00000000">
              <w:rPr>
                <w:rtl w:val="0"/>
              </w:rPr>
              <w:t xml:space="preserve">The Board allows $50 per musician per rehearsal and performance.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Dance</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Choreographer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pPr>
            <w:r w:rsidDel="00000000" w:rsidR="00000000" w:rsidRPr="00000000">
              <w:rPr>
                <w:rtl w:val="0"/>
              </w:rPr>
              <w:t xml:space="preserve">The Board allows up to $750.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Props</w:t>
            </w:r>
          </w:p>
        </w:tc>
      </w:tr>
      <w:tr>
        <w:trPr>
          <w:cantSplit w:val="0"/>
          <w:tblHeader w:val="1"/>
        </w:trPr>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Props</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pPr>
            <w:r w:rsidDel="00000000" w:rsidR="00000000" w:rsidRPr="00000000">
              <w:rPr>
                <w:rtl w:val="0"/>
              </w:rPr>
              <w:t xml:space="preserve">Props include the rental, purchase, or modification of existing furniture or hand props. BVP has an inventory of furniture and hand props that should be considered before rental or purchase of new items.</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1"/>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r>
          </w:p>
          <w:p w:rsidR="00000000" w:rsidDel="00000000" w:rsidP="00000000" w:rsidRDefault="00000000" w:rsidRPr="00000000" w14:paraId="0000002D">
            <w:pPr>
              <w:spacing w:line="240" w:lineRule="auto"/>
              <w:rPr/>
            </w:pPr>
            <w:r w:rsidDel="00000000" w:rsidR="00000000" w:rsidRPr="00000000">
              <w:rPr>
                <w:rtl w:val="0"/>
              </w:rPr>
            </w:r>
          </w:p>
          <w:p w:rsidR="00000000" w:rsidDel="00000000" w:rsidP="00000000" w:rsidRDefault="00000000" w:rsidRPr="00000000" w14:paraId="0000002E">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tcBorders>
              <w:top w:color="000000" w:space="0" w:sz="0" w:val="nil"/>
            </w:tcBorders>
            <w:shd w:fill="bf9000" w:val="clear"/>
            <w:tcMar>
              <w:top w:w="100.0" w:type="dxa"/>
              <w:left w:w="100.0" w:type="dxa"/>
              <w:bottom w:w="100.0" w:type="dxa"/>
              <w:right w:w="100.0" w:type="dxa"/>
            </w:tcMar>
            <w:vAlign w:val="top"/>
          </w:tcPr>
          <w:p w:rsidR="00000000" w:rsidDel="00000000" w:rsidP="00000000" w:rsidRDefault="00000000" w:rsidRPr="00000000" w14:paraId="00000030">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Costumes</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1"/>
              <w:keepLines w:val="1"/>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Costumes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Costumes include the rental, purchase, or tailoring of clothing. Considering rental costs, purchase of completed outfits, purchase of materials needed for alterations or fresh builds, and dry cleaning throughout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Hair/Makeup</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Hair/Wigs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Hair/Wigs involves hair styling supplies, hair extenders, wigs, mustaches, and beards.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Makeup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Makeup involves all cosmetics required for stage effects including prosthetic devices, such as scars or special effect makeup. Some make up is available at BVP aNd some cast members will use their own supplies.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Light Design</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Lighting Special 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Costs include any additional special lights, gobos, gels, and/or special effects (fog, dry ice,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Sound Design</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Sound Special Orders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Sound costs include additional sound effects not in BVP’s digital library, canned music, specialty microphones, and sound special effects equipment.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1"/>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Space Rental</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Location Rentals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If the playhouse is not available for one or more rehearsals, an offsite location rental may be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3"/>
            <w:shd w:fill="bf9000"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Food/Entertainment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Long Sunday Dinner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This will be a shared cost by cast but may be offset by a budgeted cost.</w:t>
            </w:r>
          </w:p>
        </w:tc>
        <w:tc>
          <w:tcPr>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Misc Food/Entertainment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Misc food for rehearsals or Afterglow</w:t>
            </w:r>
          </w:p>
        </w:tc>
        <w:tc>
          <w:tcPr>
            <w:tcBorders>
              <w:top w:color="000000" w:space="0" w:sz="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tcBorders>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b w:val="1"/>
              </w:rPr>
            </w:pPr>
            <w:r w:rsidDel="00000000" w:rsidR="00000000" w:rsidRPr="00000000">
              <w:rPr>
                <w:b w:val="1"/>
                <w:rtl w:val="0"/>
              </w:rPr>
              <w:t xml:space="preserve">Grand Total Budget</w:t>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sectPr>
      <w:headerReference r:id="rId6" w:type="default"/>
      <w:footerReference r:id="rId7" w:type="default"/>
      <w:pgSz w:h="15840" w:w="12240" w:orient="portrait"/>
      <w:pgMar w:bottom="720" w:top="1440" w:left="1440" w:right="1440" w:header="72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tabs>
        <w:tab w:val="right" w:leader="none" w:pos="10080"/>
      </w:tabs>
      <w:spacing w:before="200" w:line="240" w:lineRule="auto"/>
      <w:ind w:left="-720" w:right="-72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tabs>
        <w:tab w:val="right" w:leader="none" w:pos="10080"/>
      </w:tabs>
      <w:spacing w:before="0" w:line="240" w:lineRule="auto"/>
      <w:ind w:left="-720" w:right="-720" w:firstLine="0"/>
      <w:rPr>
        <w:sz w:val="16"/>
        <w:szCs w:val="16"/>
      </w:rPr>
    </w:pPr>
    <w:r w:rsidDel="00000000" w:rsidR="00000000" w:rsidRPr="00000000">
      <w:rPr>
        <w:sz w:val="16"/>
        <w:szCs w:val="16"/>
        <w:rtl w:val="0"/>
      </w:rPr>
      <w:t xml:space="preserve">Appendix - Production Budget Calculator - Rev 03/18/2023</w:t>
      <w:tab/>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widowControl w:val="0"/>
      <w:shd w:fill="ffffff" w:val="clear"/>
      <w:tabs>
        <w:tab w:val="right" w:leader="none" w:pos="10080"/>
      </w:tabs>
      <w:spacing w:line="240" w:lineRule="auto"/>
      <w:ind w:left="-1080" w:right="-720" w:firstLine="0"/>
      <w:rPr/>
    </w:pPr>
    <w:r w:rsidDel="00000000" w:rsidR="00000000" w:rsidRPr="00000000">
      <w:rPr>
        <w:b w:val="1"/>
        <w:sz w:val="20"/>
        <w:szCs w:val="20"/>
      </w:rPr>
      <w:drawing>
        <wp:inline distB="114300" distT="114300" distL="114300" distR="114300">
          <wp:extent cx="654050" cy="457200"/>
          <wp:effectExtent b="0" l="0" r="0" t="0"/>
          <wp:docPr descr="Displaying 100 Logo_no season.png" id="1" name="image1.png"/>
          <a:graphic>
            <a:graphicData uri="http://schemas.openxmlformats.org/drawingml/2006/picture">
              <pic:pic>
                <pic:nvPicPr>
                  <pic:cNvPr descr="Displaying 100 Logo_no season.png" id="0" name="image1.png"/>
                  <pic:cNvPicPr preferRelativeResize="0"/>
                </pic:nvPicPr>
                <pic:blipFill>
                  <a:blip r:embed="rId1"/>
                  <a:srcRect b="0" l="0" r="0" t="0"/>
                  <a:stretch>
                    <a:fillRect/>
                  </a:stretch>
                </pic:blipFill>
                <pic:spPr>
                  <a:xfrm>
                    <a:off x="0" y="0"/>
                    <a:ext cx="654050" cy="457200"/>
                  </a:xfrm>
                  <a:prstGeom prst="rect"/>
                  <a:ln/>
                </pic:spPr>
              </pic:pic>
            </a:graphicData>
          </a:graphic>
        </wp:inline>
      </w:drawing>
    </w:r>
    <w:r w:rsidDel="00000000" w:rsidR="00000000" w:rsidRPr="00000000">
      <w:rPr>
        <w:b w:val="1"/>
        <w:sz w:val="20"/>
        <w:szCs w:val="20"/>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